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34EF" w:rsidRDefault="009673EA" w:rsidP="004519D6">
      <w:pPr>
        <w:autoSpaceDE w:val="0"/>
        <w:autoSpaceDN w:val="0"/>
        <w:adjustRightInd w:val="0"/>
        <w:spacing w:after="0" w:line="240" w:lineRule="auto"/>
        <w:ind w:firstLine="709"/>
        <w:rPr>
          <w:rFonts w:ascii="Times New Roman" w:hAnsi="Times New Roman" w:cs="Times New Roman"/>
          <w:bCs/>
          <w:sz w:val="28"/>
          <w:szCs w:val="28"/>
        </w:rPr>
      </w:pPr>
      <w:bookmarkStart w:id="0" w:name="sub_10006"/>
      <w:r>
        <w:rPr>
          <w:rFonts w:ascii="Times New Roman" w:hAnsi="Times New Roman" w:cs="Times New Roman"/>
          <w:bCs/>
          <w:sz w:val="28"/>
          <w:szCs w:val="28"/>
        </w:rPr>
        <w:t>7</w:t>
      </w:r>
      <w:r w:rsidR="00EB34EF">
        <w:rPr>
          <w:rFonts w:ascii="Times New Roman" w:hAnsi="Times New Roman" w:cs="Times New Roman"/>
          <w:bCs/>
          <w:sz w:val="28"/>
          <w:szCs w:val="28"/>
        </w:rPr>
        <w:t>. Приложение 4 к Программе изложить в следующей редакции:</w:t>
      </w:r>
    </w:p>
    <w:p w:rsidR="00EB34EF" w:rsidRPr="00EB34EF" w:rsidRDefault="00EB34EF" w:rsidP="004519D6">
      <w:pPr>
        <w:autoSpaceDE w:val="0"/>
        <w:autoSpaceDN w:val="0"/>
        <w:adjustRightInd w:val="0"/>
        <w:spacing w:after="0" w:line="240" w:lineRule="auto"/>
        <w:ind w:firstLine="709"/>
        <w:rPr>
          <w:rFonts w:ascii="Times New Roman" w:hAnsi="Times New Roman" w:cs="Times New Roman"/>
          <w:bCs/>
          <w:sz w:val="28"/>
          <w:szCs w:val="28"/>
        </w:rPr>
      </w:pPr>
    </w:p>
    <w:p w:rsidR="009B1D29" w:rsidRDefault="00EB34EF" w:rsidP="004519D6">
      <w:pPr>
        <w:autoSpaceDE w:val="0"/>
        <w:autoSpaceDN w:val="0"/>
        <w:adjustRightInd w:val="0"/>
        <w:spacing w:after="0" w:line="240" w:lineRule="auto"/>
        <w:ind w:left="7371"/>
        <w:rPr>
          <w:rFonts w:ascii="Times New Roman" w:hAnsi="Times New Roman" w:cs="Times New Roman"/>
          <w:bCs/>
          <w:sz w:val="28"/>
          <w:szCs w:val="28"/>
        </w:rPr>
      </w:pPr>
      <w:r>
        <w:rPr>
          <w:rFonts w:ascii="Times New Roman" w:hAnsi="Times New Roman" w:cs="Times New Roman"/>
          <w:bCs/>
          <w:sz w:val="28"/>
          <w:szCs w:val="28"/>
        </w:rPr>
        <w:t>«</w:t>
      </w:r>
      <w:r w:rsidR="000E11F5">
        <w:rPr>
          <w:rFonts w:ascii="Times New Roman" w:hAnsi="Times New Roman" w:cs="Times New Roman"/>
          <w:bCs/>
          <w:sz w:val="28"/>
          <w:szCs w:val="28"/>
        </w:rPr>
        <w:t>Приложение 4</w:t>
      </w:r>
      <w:r w:rsidR="009B1D29">
        <w:rPr>
          <w:rFonts w:ascii="Times New Roman" w:hAnsi="Times New Roman" w:cs="Times New Roman"/>
          <w:bCs/>
          <w:sz w:val="28"/>
          <w:szCs w:val="28"/>
        </w:rPr>
        <w:t xml:space="preserve"> </w:t>
      </w:r>
    </w:p>
    <w:p w:rsidR="00B8544C" w:rsidRDefault="00B8544C" w:rsidP="004519D6">
      <w:pPr>
        <w:autoSpaceDE w:val="0"/>
        <w:autoSpaceDN w:val="0"/>
        <w:adjustRightInd w:val="0"/>
        <w:spacing w:after="0" w:line="240" w:lineRule="auto"/>
        <w:ind w:left="7371"/>
        <w:rPr>
          <w:rFonts w:ascii="Times New Roman" w:hAnsi="Times New Roman" w:cs="Times New Roman"/>
          <w:sz w:val="28"/>
          <w:szCs w:val="28"/>
        </w:rPr>
      </w:pPr>
      <w:r w:rsidRPr="00166F9E">
        <w:rPr>
          <w:rFonts w:ascii="Times New Roman" w:hAnsi="Times New Roman" w:cs="Times New Roman"/>
          <w:bCs/>
          <w:sz w:val="28"/>
          <w:szCs w:val="28"/>
        </w:rPr>
        <w:t>к</w:t>
      </w:r>
      <w:r w:rsidRPr="00292400">
        <w:rPr>
          <w:rFonts w:ascii="Times New Roman" w:hAnsi="Times New Roman" w:cs="Times New Roman"/>
          <w:b/>
          <w:bCs/>
          <w:sz w:val="28"/>
          <w:szCs w:val="28"/>
        </w:rPr>
        <w:t xml:space="preserve"> </w:t>
      </w:r>
      <w:hyperlink w:anchor="sub_10000" w:history="1">
        <w:r w:rsidRPr="00292400">
          <w:rPr>
            <w:rFonts w:ascii="Times New Roman" w:hAnsi="Times New Roman" w:cs="Times New Roman"/>
            <w:sz w:val="28"/>
            <w:szCs w:val="28"/>
          </w:rPr>
          <w:t>Программе</w:t>
        </w:r>
      </w:hyperlink>
    </w:p>
    <w:p w:rsidR="004519D6" w:rsidRDefault="004519D6" w:rsidP="004519D6">
      <w:pPr>
        <w:autoSpaceDE w:val="0"/>
        <w:autoSpaceDN w:val="0"/>
        <w:adjustRightInd w:val="0"/>
        <w:spacing w:after="0" w:line="240" w:lineRule="auto"/>
        <w:ind w:left="7371"/>
        <w:rPr>
          <w:rFonts w:ascii="Times New Roman" w:hAnsi="Times New Roman" w:cs="Times New Roman"/>
          <w:sz w:val="28"/>
          <w:szCs w:val="28"/>
        </w:rPr>
      </w:pPr>
    </w:p>
    <w:bookmarkEnd w:id="0"/>
    <w:p w:rsidR="00622DF8" w:rsidRPr="00622DF8" w:rsidRDefault="00622DF8" w:rsidP="00622DF8">
      <w:pPr>
        <w:autoSpaceDE w:val="0"/>
        <w:autoSpaceDN w:val="0"/>
        <w:adjustRightInd w:val="0"/>
        <w:spacing w:after="0" w:line="240" w:lineRule="auto"/>
        <w:ind w:firstLine="709"/>
        <w:jc w:val="center"/>
        <w:rPr>
          <w:rFonts w:ascii="Times New Roman" w:hAnsi="Times New Roman" w:cs="Times New Roman"/>
          <w:bCs/>
          <w:sz w:val="28"/>
          <w:szCs w:val="28"/>
        </w:rPr>
      </w:pPr>
      <w:r w:rsidRPr="00622DF8">
        <w:rPr>
          <w:rFonts w:ascii="Times New Roman" w:hAnsi="Times New Roman" w:cs="Times New Roman"/>
          <w:bCs/>
          <w:sz w:val="28"/>
          <w:szCs w:val="28"/>
        </w:rPr>
        <w:t>Порядок</w:t>
      </w:r>
    </w:p>
    <w:p w:rsidR="00622DF8" w:rsidRPr="00622DF8" w:rsidRDefault="00622DF8" w:rsidP="00622DF8">
      <w:pPr>
        <w:autoSpaceDE w:val="0"/>
        <w:autoSpaceDN w:val="0"/>
        <w:adjustRightInd w:val="0"/>
        <w:spacing w:after="0" w:line="240" w:lineRule="auto"/>
        <w:ind w:firstLine="709"/>
        <w:jc w:val="center"/>
        <w:rPr>
          <w:rFonts w:ascii="Times New Roman" w:hAnsi="Times New Roman" w:cs="Times New Roman"/>
          <w:bCs/>
          <w:sz w:val="28"/>
          <w:szCs w:val="28"/>
        </w:rPr>
      </w:pPr>
      <w:r w:rsidRPr="00622DF8">
        <w:rPr>
          <w:rFonts w:ascii="Times New Roman" w:hAnsi="Times New Roman" w:cs="Times New Roman"/>
          <w:bCs/>
          <w:sz w:val="28"/>
          <w:szCs w:val="28"/>
        </w:rPr>
        <w:t>предоставления и распределения субсидии муниципальным образованиям Камчатского края на реализацию мероприятий по благоустройству</w:t>
      </w:r>
    </w:p>
    <w:p w:rsidR="00622DF8" w:rsidRPr="00622DF8" w:rsidRDefault="00622DF8" w:rsidP="00622DF8">
      <w:pPr>
        <w:autoSpaceDE w:val="0"/>
        <w:autoSpaceDN w:val="0"/>
        <w:adjustRightInd w:val="0"/>
        <w:spacing w:after="0" w:line="240" w:lineRule="auto"/>
        <w:ind w:firstLine="709"/>
        <w:jc w:val="center"/>
        <w:rPr>
          <w:rFonts w:ascii="Times New Roman" w:hAnsi="Times New Roman" w:cs="Times New Roman"/>
          <w:bCs/>
          <w:sz w:val="28"/>
          <w:szCs w:val="28"/>
        </w:rPr>
      </w:pPr>
      <w:r w:rsidRPr="00622DF8">
        <w:rPr>
          <w:rFonts w:ascii="Times New Roman" w:hAnsi="Times New Roman" w:cs="Times New Roman"/>
          <w:bCs/>
          <w:sz w:val="28"/>
          <w:szCs w:val="28"/>
        </w:rPr>
        <w:t>сельских территорий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Настоящий Порядок определяет цели, порядок и условия предоставления и распределения субсидии из краевого бюджета Камчатского края (далее – краевой бюджет) бюджетам муниципальных образований Камчатского края (далее – местный бюджет) на реализацию мероприятий по благоустройству сельских территорий (далее – субсидия).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2. Субсидии предоставляются в целях софинансирования расходных обязательств муниципальных образований, возникающих при реализации основного мероприятия 3.1 «Предоставление государственной поддержки на реализацию общественно-значимых проектов по благоустройству сельских территорий» подпрограммы 3 «Создание и развитие инфраструктуры на сельских территориях» государственной программы Камчатского края «Комплексное развитие сельских территорий Камчатского края», утвержденной постановлением Правительства Камчатского края от 29.11.2019 № 503-П (далее – Государственная программа), направленных на комплексное развитие сельских территорий, включающих мероприятия по предоставлению государственной поддержки органу местного самоуправления, расположенного на сельской территории Камчатского края, на реализацию проектов по благоустройству общественных пространств на сельских территориях (далее – проекты) по следующим направлениям: </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создание и обустройство зон отдыха, спортивных и детских игровых площадок, площадок для занятия адаптивной физической культурой и адаптивным спортом для лиц с ограниченными возможностями здоровья;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организация освещения территории, включая архитектурную подсветку зданий, строений, сооружений, в том числе с использованием энергосберегающих технологий;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организация пешеходных коммуникаций, в том числе тротуаров, аллей, велосипедных дорожек, тропинок;</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создание и обустройство мест автомобильных и велосипедных парковок;</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ремонтно-восстановительные работы улично-дорожной сети и дворовых проездов;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 организация оформления фасадов (внешнего вида) зданий (административных зданий, объектов социальной сферы, объектов инфраструктуры и др.), находящихся в муниципальной собственности, а также </w:t>
      </w:r>
      <w:r w:rsidRPr="00622DF8">
        <w:rPr>
          <w:rFonts w:ascii="Times New Roman" w:hAnsi="Times New Roman" w:cs="Times New Roman"/>
          <w:bCs/>
          <w:sz w:val="28"/>
          <w:szCs w:val="28"/>
        </w:rPr>
        <w:lastRenderedPageBreak/>
        <w:t>установка (обустройство) ограждений, прилегающих к общественным территориям, газонных и тротуарных ограждений;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обустройство территории в целях обеспечения беспрепятственного передвижения инвалидов и других маломобильных групп населения;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организация ливневых стоков;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обустройство общественных колодцев и водоразборных колонок;</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обустройство площадок накопления твердых коммунальных отходов;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сохранение и восстановление природных ландшафтов и историко-культурных памятников.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Элементы благоустройства и виды работ, включаемые в проекты, утверждаются уполномоченным органом исполнительной власти Камчатского края – Министерством сельского хозяйства, пищевой и перерабатывающей промышленности Камчатского края, являющимся главным распорядителем средств краевого бюджета в соответствии с отраслевой принадлежностью реализуемого проекта (далее – Министерство).</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Субсидия предоставляется в соответствии со сводной бюджетной росписью краевого бюджета на соответствующий финансовый год и на плановый период в пределах бюджетных ассигнований и лимитов бюджетных обязательств, предусмотренных в установленном порядке Министерству.</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5. Уровень софинансирования расходного обязательства муниципального образования за счет средств краевого бюджета составляет 70 процентов от общего объема соответствующего расходного обязательства муниципального образования.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 Соглашении о предоставлении субсидии исходя из объема бюджетных ассигнований, предусмотренных в местном бюджете для полного исполнения расходного обязательства муниципального образования, может быть установлен уровень софинансирования расходного обязательства муниципального образования за счет средств местного бюджета с превышением уровня софинансирования за счет средств местного бюджета, рассчитываемого с учетом уровня софинансирования за счет средств краевого бюджета, определенного в соответствии с настоящим Порядком. Указанное увеличение уровня софинансирования расходного обязательства муниципального образования ском крае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Размер субсидии, предоставляемой муниципальному образованию на реализацию каждого проекта, не превышает 2 млн. рублей и составляет не более 70 процентов общего объема финансового обеспечения реализации проекта. При этом не менее 30 процентов объема финансирования реализации проекта должно быть обеспечено за счет средств местного бюджета, а также за счет обязательного вклада граждан и (или) юридических лиц (индивидуальных предпринимателей), общественных, включая волонтерские, организаций в различных формах, в том числе в форме денежных средств, трудового участия, волонтерской деятельности, предоставления помещений и технических средств. </w:t>
      </w:r>
      <w:r w:rsidRPr="00622DF8">
        <w:rPr>
          <w:rFonts w:ascii="Times New Roman" w:hAnsi="Times New Roman" w:cs="Times New Roman"/>
          <w:bCs/>
          <w:sz w:val="28"/>
          <w:szCs w:val="28"/>
        </w:rPr>
        <w:lastRenderedPageBreak/>
        <w:t>Размеры средств местного бюджета, вклада граждан и (или) юридических лиц (индивидуальных предпринимателей) определяются отраслевым органом.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6. 13. При распределении субсидий между муниципальными образованиями объем субсидии местному бюджету в соответствующем финансовом году не может превышать объема средств на исполнение в этом финансовом году расходного обязательства муниципального образования, в целях софинансирования которого предоставляется субсидия, с учетом предельного уровня софинансирования расходного обязательства муниципального образования за счет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Увеличение уровня софинансирования расходного обязательства муниципального образования за счет средств местного бюджета не влечет за собой обязательств по увеличению размера субсидии, предоставляемой за счет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7. Работы, выполняемые в рамках проекта, должны быть завершены до 31 декабря года, в котором получена субсидия.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8. Субсидия предоставляется органу местного самоуправления по результатам конкурсного отбора на основании решения конкурсной комиссии на цели, указанные в части 2 настоящего Порядка.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Организатором конкурсного отбора является Министерство.</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9. Министерство осуществляет:</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опубликование на официальном сайте в информационно-телекоммуникационной сети «Интернет» Министерства (далее – официальный сайт) извещения о начале приема заявок о предоставлении субсидии на очередной финансовый год и плановый период по форме, установленной приказом Министерства (далее соответственно – извещение, заявка);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2) прием и регистрацию заявок в срок не менее 10 календарных дней со дня опубликования извещения о начале приема заявок; </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назначение даты заседания конкурсной комиссии по проведению конкурсного отбора, но не позднее 10 календарных дней со дня окончания приема документов для конкурсного отбора;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учет и хранение представленных на конкурсный отбор документов;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5) ведение реестра заявок;</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6) размещение на официальном сайте решений конкурсной комиссии;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7) методическую и консультативную помощь участникам конкурсного отбора.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10. Извещение о проведении конкурсного отбора должно содержать следующую информацию:</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дата и место проведения конкурсного отбора;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срок начала и окончания приема заявок муниципальных образований на участие в конкурсном отборе;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способ подачи муниципальным образованием заявки на участие в конкурсном отборе;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перечень документов, прилагаемых к заявке;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5) контактные данные.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11. Условиями для предоставления субсидии являются: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наличие генерального плана сельского поселения с указанием территории планируемой реализации проекта;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наличие правового акта органа местного самоуправления, предусматривающего мероприятие, при реализации которого возникают расходные обязательства органа местного самоуправления, в целях софинансирования которых предоставляется субсидия;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наличие в местном бюджете (сводной бюджетной росписи местного бюджета) бюджетных ассигнований на исполнение расходного обязательства муниципального образования, софинансирование которого осуществляется из краевого бюджета, в объеме, необходимом для его исполнения, включающем размер планируемой к предоставлению из краевого бюджета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заключение соглашения между главным распорядителем средств краевого бюджета и органом местного самоуправления о предоставлении субсидии в соответствии Правилами формирования, предоставления и распределения субсидий из краевого бюджета бюджетам муниципальных образований в Камчатском крае, утвержденными постановлением Правительства Камчатского края от 27.12.2019 № 566-П (далее – Соглашение, Правила).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12. Критериями конкурсного отбора для предоставления субсидии являются: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наличие утвержденной муниципальной программы, предусматривающей мероприятие, указанное в части 2 настоящего Порядка, софинансирование которого осуществляется за счет средств краевого бюджета, с учетом уровня софинансирования, установленного нормативными правовыми актами Правительства Камчатского края.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Перечень показателей результативности использования субсидий должен соответствовать показателям мероприятий Государственной программы, приведенным в приложениях № 1 к Государственной программе;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наличие перечня проектов на очередной финансовый год и плановый период, форма которого устанавливается главным распорядителем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наличие заявки;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наличие документов, подтверждающих решение о реализации проекта (протокол собрания граждан, проживающих в сельском населенном пункте, протокол органа территориального общественного самоуправления сельского населенного пункта, муниципальный правовой акт);</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5) привлечение средств внебюджетных источников в объемах, необходимых для выполнения программного мероприятия;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6) наличие паспорта проекта;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7) наличие сметы, заверенной муниципальным образованием.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13. Порядок проведения конкурсного отбора, перечень, формы, срок, порядок представления документов и порядок их рассмотрения утверждаются приказом Министерства.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14. Соглашение и дополнительные соглашения к Соглашению заключаются в соответствии с типовыми формами соглашений, утвержденными Министерством финансов Камчатского края. Соглашение и дополнительные соглашения к Соглашению, предусматривающие внесение в него изменений и его расторжение, заключаются в соответствии с указанными типовыми формами.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15. Соглашение заключается на срок, который не может быть менее срока, на который в установленном порядке утверждено распределение субсидии между муниципальными образованиями.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 случае, если законом Камчатского края о краевом бюджете предусмотрено предоставление субсидии исключительно на текущий финансовый год, то ее предоставление в текущем финансовом году не приводит к возникновению расходных обязательств Камчатского края по предоставлению соответствующей субсидии в плановом периоде.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Заключение соглашений о предоставлении субсидий на срок, превышающий срок действия утвержденных лимитов бюджетных обязательств, осуществляется в случаях, предусмотренных постановлениями Правительства Камчатского края, в пределах средств и на сроки, которые установлены указанными актами.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16. В случае внесения в закон Камчатского края о краевом бюджете на текущий финансовый год и плановый период изменений, предусматривающих уточнение в соответствующем финансовом году объемов бюджетных ассигнований на предоставление субсидии, в Соглашение вносятся соответствующие изменения.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Внесение в Соглашение изменений, предусматривающих ухудшение значений показателей результативности использования субсидии, увеличение сроков реализации мероприятий, предусмотренных Соглашением, не допускается, за исключением случаев изменения значений целевых показателей (индикаторов) Государственной программы, а также в случае сокращения размера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17. Соглашение должно содержать следующие положения: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размер предоставляемой субсидии, порядок, условия и сроки ее перечисления в местный бюджет, а также объем бюджетных ассигнований местного бюджета на исполнение соответствующих расходных обязательств;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уровень софинансирования, выраженный в процентах от объема бюджетных ассигнований на исполнение расходного обязательства муниципального образования, предусмотренных в местном бюджете, в целях софинансирования которого предоставляется субсидия, установленный с учетом предельного уровня софинансирования, определенного в порядке, предусмотренном Правительством Камчатского края;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значения показателей результативности использования субсидии, устанавливаемые главным распорядителем средств краевого бюджета, которые должны соответствовать значениям целевых показателей и индикаторов Государственной программы;</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4) обязательства муниципального образования по достижению показателей результативности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5) обязательства муниципального образования предусматривать в контрактах (договорах, соглашениях), софинансируемых за счет средств краевого бюджета, авансовые платежи в размерах, не превышающих размеры, установленные постановлением Правительства Камчатского края о мерах по реализации закона Камчатского края о краевом бюджете для главных распорядителей (распорядителей) и получателей средств краевого бюджета (если иное не предусмотрено постановлениями Правительства Камчатского края), но не более лимитов бюджетных обязательств на соответствующий финансовый год, доведенных до муниципального образования;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6) обязательства муниципального образования предусматривать в контрактах (договорах, соглашениях), заключаемых в целях исполнения Соглашения, софинансируемые за счет средств краевого бюджета, обязанность подрядчика (исполнителя) возвратить в установленный контрактом (договором, соглашением) срок излишне уплаченные за выполнение работы (оказание услуги) денежные средства в случае выявления в ходе проверки, проведенной в течение 3 лет с момента подписания документа, удостоверившего приемку, уполномоченными контролирующими органами фактов завышения объемов и (или) стоимости работ (услуг);</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7) обязательства муниципального образования предусматривать на основании статьи 313 Гражданского кодекса Российской Федерации в контрактах (договорах, соглашениях), софинансируемые за счет средств краевого бюджета, что в случае неисполнения или ненадлежащего исполнения поставщиком (подрядчиком, исполнителем) по указанному контракту (договору, соглашению) своих обязательств заказчик начисляет на основании требования об уплате неустойки задолженность поставщика (подрядчика, исполнителя), осуществляет перечисление средств поставщику (подрядчику, исполнителю), подлежащих выплате в связи с приемкой поставленного товара (результатов выполненной работы, оказанной услуги), за вычетом неустойки и вправе перечислить сумму неустойки (без использования средств субсидии) в доход местного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8) обязательства муниципального образования заключать Соглашения, софинансируемые за счет средств краевого бюджета, по типовым формам соглашений, утвержденным Министерством финансов Камчатского края;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9) обязательства муниципального образования по согласованию с главным распорядителем средств краевого бюджета муниципальных программ, софинансируемых за счет средств краевого бюджета, и внесению в них изменений, которые влекут изменения объемов финансирования и (или) показателей результативности муниципальных программ и (или) изменение состава мероприятий указанных программ, на которые предоставляется субсидия;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10) сроки, формы и порядок представления отчетности об осуществлении расходов местного бюджета, источником финансового обеспечения которых является субсидия;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11) сроки, формы и порядок представления отчетности о достижении значений показателей результативности использования субсидии и об исполнении графика выполнения мероприятий по строительству (реконструкции, в том числе с элементами реставрации, техническому перевооружению) и (или) приобретению объектов недвижимого имущества;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12) порядок осуществления контроля главным распорядителем бюджетных средств за выполнением муниципальным образованием обязательств, предусмотренных Соглашением;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13) основания для возврата субсидии и порядок возврата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12) обязательства муниципального образования по возврату средств в краевой бюджет в соответствии с частью 21 настоящего Порядка;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13) ответственность сторон за нарушение условий Соглашения;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14) условие о вступлении в силу Соглашения.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18. Объем бюджетных ассигнований местного бюджета на финансирование расходного обязательства муниципального образования, софинансируемого за счет субсидии, утверждается решением представительного органа муниципального образования о местном бюджете (определяется сводной бюджетной росписью местного значения) исходя из необходимости достижения установленных Соглашением значений показателей результативности используемой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19. Перечисление средств субсидии в местный бюджет осуществляется на основании заявки органа местного самоуправления о перечислении субсидии, предоставляемой главному распорядителю средств краевого бюджета, по форме и в срок, которые установлены главным распорядителем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 заявке указываются наименование мероприятия муниципальной программы, необходимый объем средств в пределах предусмотренной субсидии, расходное обязательство, на осуществление которого она предоставляется, и срок возникновения денежного обязательства муниципального образования в целях исполнения соответствующего расходного обязательства.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20. Распределение субсидии между муниципальными образованиями осуществляется в пределах общего объема средств на очередной финансовый год и плановый период, утвержденный законом Камчатского края о краевом бюджете.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21. Размер субсидии бюджету i-го муниципального образования определяется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 ,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Ci – объем субсидии, предоставляемый i-му муниципальному образованию в Камчатском крае, но не более заявленной потребности;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С – общий объем бюджетных ассигнований краевого бюджета на соответствующий финансовый год для предоставления субсидий;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3i – потребность в бюджетных ассигнованиях, необходимых для финансового обеспечения реализации мероприятий на очередной финансовый год, i-му муниципальному образованию, которая рассчитывается в соответствии с заявками, представленными муниципальными образованиями в Камчатском крае;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Yi – уровень софинансирования расходного обязательства муниципального образования в Камчатском крае из краевого бюджета, установленный действующим Правительством Камчатского края (в процентах);</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n – число муниципальных образований в Камчатском крае, между бюджетами которых распределяются субсидии. </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Потребность в бюджетных ассигнованиях, необходимых для финансового обеспечения реализации мероприятий на очередной финансовый год i-му муниципальному образованию, рассчитывается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 ,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ОЗ – объем финансового обеспечения заявки i-го муниципального образования, который рассчитывается исходя из суммы сметной стоимости проектов в составе заявки i-го муниципального образования, который рассчитывается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ОЗ = ОЗ1 + ОЗ2... + ОЗj</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Размер бюджетных ассигнований, предусмотренных в местном бюджете на цели, на которые предоставляется субсидия, может быть увеличен в одностороннем порядке, что не влечет за собой обязательств по увеличению размера предоставляемой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21. Оценка эффективности использования субсидии осуществляется на основании сравнения плановых и достигнутых значений показателей результативности.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22. Эффективность использования субсидии оценивается согласно следующим значениям: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высокий уровень эффективности, если достигнутое значение показателей результативности составляет более 95% планового значения;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средний уровень эффективности, если достигнутое значение показателей результативности составляет от 90 до 95% планового значения;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низкий уровень эффективности, если достигнутое значение показателей результативности составляет от 83 до 90% планового значения.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 остальных случаях эффективность использования субсидии признается неудовлетворительной.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23. Эффективность использования субсидии оценивается главным распорядителем бюджетных средств ежеквартально и ежегодно на основании </w:t>
      </w:r>
      <w:r w:rsidRPr="00622DF8">
        <w:rPr>
          <w:rFonts w:ascii="Times New Roman" w:hAnsi="Times New Roman" w:cs="Times New Roman"/>
          <w:bCs/>
          <w:sz w:val="28"/>
          <w:szCs w:val="28"/>
        </w:rPr>
        <w:lastRenderedPageBreak/>
        <w:t xml:space="preserve">достижения результата использования субсидии, установленного в Соглашении, в соответствии со следующим показателем результативности: </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количество реализованных проектов по благоустройству сельских территорий, единиц.</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24. Порядок применения мер ответственности и возврата субсидии регулируется Бюджетным кодексом Российской Федерации и Правилами.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25. Субсидия подлежит возврату в краевой бюджет органами местного самоуправления в установленном порядке в случаях:</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нецелевого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недостижение показателей результативности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26. В случае, если муниципальным образованием по состоянию на 31 декабря года предоставления субсидии допущены нарушения, предусмотренные пунктом 2 части 25 настоящего Порядка, и в срок до первой даты представления отчетности о достижении значений показателей результативности использования субсидии в соответствии с Соглашением в году, следующем за годом предоставления субсидии, указанные нарушения не устранены, средства субсидии подлежат возврату из местного бюджета в краевой бюджет в срок до 1 июня года, следующего за годом предоставления субсидии (V возврата), в размере, рассчитываемом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Vвозврата = (Vсубсидии x k x m / n) x 0,01,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Vсубсидии – размер субсидии, предоставленной местному бюджету в отчетном финансовом году;</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m – количество показателей результативности использования субсидии, по которым индекс, отражающий уровень недостижения i-го показателя результативности использования субсидии, имеет положительное значение;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n – общее количество показателей результативности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k – коэффициент возврата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При расчете объема средств, подлежащих возврату из местного бюджета в краевой бюджет, в размере субсидии, предоставленной муниципальному образованию в отчетном финансовом году (Vсубсидии), не учитывается размер остатка субсидии, не использованного по состоянию на 1 января текущего финансового года.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Коэффициент возврата субсидии рассчитывается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k = SUM Di / m,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Di – индекс, отражающий уровень недостижения i-го показателя результативности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При расчете коэффициента возврата субсидии используются только положительные значения индекса, отражающего уровень недостижения i-го показателя результативности использования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Индекс, отражающий уровень недостижения i-го показателя результативности использования субсидии, определяется: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для показателей результативности использования субсидии, по которым большее значение фактически достигнутого значения отражает большую эффективность использования субсидии,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Di = 1 - Ti / Si,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Ti – фактически достигнутое значение i-го показателя результативности использования субсидии на отчетную дату;</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Si – плановое значение i-го показателя результативности использования субсидии, установленное Соглашением;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для показателей результативности использования субсидии, по которым большее значение фактически достигнутого значения отражает меньшую эффективность использования субсидии,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Di = 1 - Si / Ti.</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27. Основанием для освобождения муниципального образования от применения мер финансовой ответственности, предусмотренных частью 26 настоящего Порядка, является документально подтвержденное наступление следующих обстоятельств, препятствующих исполнению соответствующих обязательств: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1) установление регионального (межмуниципального) и (или) местного уровня реагирования на чрезвычайную ситуацию природного или техногенного характера, подтвержденное правовым актом исполнительного органа Камчатского края и (или) органа местного самоуправления;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 установление карантина и (или) иных ограничений, направленных на предотвращение распространения и ликвидацию очагов заразных и иных болезней животных, подтвержденное правовым актом исполнительного органа Камчатского края;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 аномальные погодные условия, подтвержденные справкой территориального органа федерального органа исполнительной власти по Камчатскому краю, осуществляющего функции по оказанию государственных услуг в области гидрометеорологии и смежных с ней областях;</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4) наличие вступившего в законную силу в году предоставления субсидии решения арбитражного суда о признании несостоятельной (банкротом) организации, деятельность которой оказывала влияние на исполнение обязательств, предусмотренных соглашением о предоставлении субсидии в соответствии с пунктом 4 части 17 настоящего Порядка;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xml:space="preserve">5) неоднократное признание в соответствии с законодательством Российской Федерации несостоявшимися закупок товаров, работ, услуг, осуществляемых конкурентными способами определения поставщика </w:t>
      </w:r>
      <w:r w:rsidRPr="00622DF8">
        <w:rPr>
          <w:rFonts w:ascii="Times New Roman" w:hAnsi="Times New Roman" w:cs="Times New Roman"/>
          <w:bCs/>
          <w:sz w:val="28"/>
          <w:szCs w:val="28"/>
        </w:rPr>
        <w:lastRenderedPageBreak/>
        <w:t>(подрядчика, исполнителя), в случае отсутствия заявок на участие в таких закупках;</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6) неисполнение обязательств поставщиком (подрядчиком, исполнителем) по договору (контракту, соглашению), источником финансового обеспечения (софинансирования) которого являются средства субсидии, при условии проведения муниципальным образованием (его уполномоченными органами) работы по обязательному претензионному, досудебному урегулированию спора в соответствии с процессуальным законодательством Российской Федерации;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7) невыполнение концессионером обязанностей по концессионному соглашению в случае наличия особых обстоятельств, предусмотренных концессионным соглашением, влекущих невозможность исполнения концессионером обязательств по такому соглашению, при условии соблюдения обязательств сторон, предусмотренных таким соглашением при наступлении особых обстоятельств.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28. Министерство при наличии одного из оснований, предусмотренного частью 27 настоящего Порядка, подготавливает заключение о причинах неисполнения соответствующих обязательств.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Указанное заключение подготавливается не позднее 15 апреля года, следующего за годом предоставления субсидии, на основании документов, подтверждающих наступление обстоятельств, вследствие которых соответствующие обязательства не исполнены, представляемых главному распорядителю средств краевого бюджета муниципальным образованием, допустившим нарушение соответствующих обязательств, не позднее 5 апреля года, следующего за годом предоставления субсидии. Одновременно с указанными документами представляется информация о предпринимаемых мерах по устранению нарушения и персональной ответственности должностных лиц, ответственных за такое нарушение.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29. Министерство не позднее 1 мая года, следующего за годом предоставления субсидии, на основании указанного в части 28 настоящего Порядка заключения издает правовой акт об освобождении муниципального образования от применения мер финансовой ответственности, предусмотренного частью 26 настоящего Порядка, в случае подтверждения обстоятельств, препятствующих исполнению соответствующих обязательств.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30. В случае отсутствия оснований для освобождения муниципального образования от применения мер финансовой ответственности, предусмотренных частью 27 настоящего Порядка, Министерство не позднее 30-го рабочего дня после первой даты представления отчетности о достижении значений результатов использования субсидии в соответствии с Соглашением в году, следующем за годом предоставления субсидии, направляет в орган местного самоуправления требование о возврате в краевой бюджет из местного бюджета объема средств, рассчитанного в соответствии с частью 26 настоящего Порядка, с указанием объема средств, подлежащих возврату, и сроков их возврата в соответствии с настоящим Порядком.</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 xml:space="preserve">31. Министерство в случае полного или частичного неперечисления сумм, указанных в требовании о возврате средств субсидии, в течение 5 рабочих дней со дня истечения установленного частью 26 настоящего Порядка сроков для возврата в краевой бюджет средств из местного бюджета представляет информацию о неисполнении требования о возврате средств субсидии в Министерство финансов Камчатского края. </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32. В случае, если муниципальным образованием по состоянию на 31 декабря года предоставления субсидии допущены нарушения обязательств, предусмотренных Соглашением в соответствии с пунктом 4 части 11 настоящего Порядка, объем средств, подлежащий возврату из местного бюджета в краевой бюджет в срок до 1 июня года, следующего за годом предоставления субсидии (sh), рассчитывается по формуле: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SH = Sф - Sк х Кф, где</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SФ – размер предоставленной субсидии для софинансирования расходного обязательства муниципального образования по состоянию на дату окончания контрольного мероприятия (проверки (ревизии);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Sk – общий объем бюджетных обязательств, принятых муниципальным образованием допустившим нарушение условий софинансирования расходного обязательства муниципального образования, необходимых для исполнения расходного обязательства муниципального образования, в целях софинансирования которого предоставлена субсидия, по состоянию на дату окончания контрольного мероприятия (проверки (ревизии);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Кф – коэффициент, выражающий уровень софинансирования расходного обязательства муниципального образования из краевого бюджета по соответствующему мероприятию, предусмотренный соглашением о предоставлении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33. Министерство осуществляет мониторинг предоставления и достижения значений показателей результативности использования субсидий органами местного самоуправления.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Информацию о значениях показателей результативности использования субсидий органами местного самоуправления Министерство представляет в Министерство финансов Камчатского края в государственной автоматизированной системе управления бюджетным процессом Камчатского края по каждому муниципальному образованию – получателю средств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 плановые значения показателей результативности использования субсидий – до 1 марта текущего года (в отношении субсидий, распределение которых установлено законом Камчатского края о краевом бюджете). В случае установления плановых значений на основании нормативного акта Правительства Камчатского края, изменения плановых значений эти сведения представляются в течение 15 календарных дней с даты принятия соответствующего решения;</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lastRenderedPageBreak/>
        <w:t>- достигнутые значения показателей результативности использования субсидий – до 1 апреля, следующего за годом предоставления субсидий.</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34. В случае недостижения значений показателей результативности использования субсидий муниципальными образованиями такая информация учитывается Министерством финансов Камчатского края при формировании проекта краевого бюджета на очередной финансовый год и плановый период (проекта закона о внесении изменений в краевой бюджет), в том числе при подготовке заключений на предложения главного распорядителя средств краевого бюджета по изменению объема и (или) структуры расходных обязательств.</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35. В случае нецелевого использования субсидии муниципальным образованием суммы средств, использованных не по целевому назначению, подлежат возврату в краевой бюджет в течение 30 рабочих дней со дня получения требования о возврате субсидии главного распорядителя средств краевого бюджета.</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Министерство направляет требование о возврате субсидии, указанное в абзаце первом настоящей части, в орган местного самоуправления в течение 15 рабочих дней со дня установления факта нецелевого использования средств субсидии.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В случае, если средства субсидии не возвращены в срок, установленный абзацем первым настоящей части, Министерство направляет в течение 3 рабочих дней со дня истечения срока, установленного в абзаце первом настоящей части, в Министерство финансов Камчатского края информацию и материалы, подтверждающие факт нецелевого использования средств субсидии, для принятия мер бюджетного принуждения в соответствии с бюджетным законодательством Российской Федерации.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36. Не использованные по состоянию на 1 января текущего финансового года субсидии, за исключением субсидий, источником финансового обеспечения которых являются бюджетные ассигнования резервного фонда Президента Российской Федерации, подлежат возврату в доход краевого бюджета в соответствии со статьей 242 Бюджетного кодекса Российской Федерации.</w:t>
      </w:r>
    </w:p>
    <w:p w:rsidR="00622DF8"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sidRPr="00622DF8">
        <w:rPr>
          <w:rFonts w:ascii="Times New Roman" w:hAnsi="Times New Roman" w:cs="Times New Roman"/>
          <w:bCs/>
          <w:sz w:val="28"/>
          <w:szCs w:val="28"/>
        </w:rPr>
        <w:t>37. Контроль соблюдения муниципальными образованиями условий предоставления субсидий осуществляется главным распорядителем средств краевого бюджета.</w:t>
      </w:r>
    </w:p>
    <w:p w:rsidR="00622DF8" w:rsidRDefault="00622DF8" w:rsidP="00622DF8">
      <w:pPr>
        <w:autoSpaceDE w:val="0"/>
        <w:autoSpaceDN w:val="0"/>
        <w:adjustRightInd w:val="0"/>
        <w:spacing w:after="0" w:line="240" w:lineRule="auto"/>
        <w:ind w:firstLine="709"/>
        <w:jc w:val="both"/>
        <w:rPr>
          <w:rFonts w:ascii="Times New Roman" w:hAnsi="Times New Roman" w:cs="Times New Roman"/>
          <w:sz w:val="28"/>
          <w:szCs w:val="28"/>
        </w:rPr>
      </w:pPr>
      <w:r w:rsidRPr="00622DF8">
        <w:rPr>
          <w:rFonts w:ascii="Times New Roman" w:hAnsi="Times New Roman" w:cs="Times New Roman"/>
          <w:bCs/>
          <w:sz w:val="28"/>
          <w:szCs w:val="28"/>
        </w:rPr>
        <w:t>38. Контроль целевого использования субсидии муниципальными образованиями осуществляется главным распорядителем средств краевого бюджета и органами финансового контроля в соответствии с действующим законодательство</w:t>
      </w:r>
      <w:r>
        <w:rPr>
          <w:rFonts w:ascii="Times New Roman" w:hAnsi="Times New Roman" w:cs="Times New Roman"/>
          <w:bCs/>
          <w:sz w:val="28"/>
          <w:szCs w:val="28"/>
        </w:rPr>
        <w:t>м и с заключенными соглашениями</w:t>
      </w:r>
      <w:r w:rsidR="004519D6" w:rsidRPr="001508BA">
        <w:rPr>
          <w:rFonts w:ascii="Times New Roman" w:hAnsi="Times New Roman" w:cs="Times New Roman"/>
          <w:sz w:val="28"/>
          <w:szCs w:val="28"/>
        </w:rPr>
        <w:t>.</w:t>
      </w:r>
    </w:p>
    <w:p w:rsidR="004519D6" w:rsidRPr="00622DF8" w:rsidRDefault="00622DF8" w:rsidP="00622DF8">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sz w:val="28"/>
          <w:szCs w:val="28"/>
        </w:rPr>
        <w:t xml:space="preserve">       </w:t>
      </w:r>
      <w:bookmarkStart w:id="1" w:name="_GoBack"/>
      <w:bookmarkEnd w:id="1"/>
      <w:r w:rsidR="004519D6">
        <w:rPr>
          <w:rFonts w:ascii="Times New Roman" w:hAnsi="Times New Roman" w:cs="Times New Roman"/>
          <w:sz w:val="28"/>
          <w:szCs w:val="28"/>
        </w:rPr>
        <w:t xml:space="preserve">                                                                          </w:t>
      </w:r>
      <w:r w:rsidR="006152D6">
        <w:rPr>
          <w:rFonts w:ascii="Times New Roman" w:hAnsi="Times New Roman" w:cs="Times New Roman"/>
          <w:sz w:val="28"/>
          <w:szCs w:val="28"/>
        </w:rPr>
        <w:t xml:space="preserve">                                         </w:t>
      </w:r>
      <w:r w:rsidR="004519D6">
        <w:rPr>
          <w:rFonts w:ascii="Times New Roman" w:hAnsi="Times New Roman" w:cs="Times New Roman"/>
          <w:sz w:val="28"/>
          <w:szCs w:val="28"/>
        </w:rPr>
        <w:t xml:space="preserve">  ».</w:t>
      </w:r>
    </w:p>
    <w:p w:rsidR="004519D6" w:rsidRPr="001508BA" w:rsidRDefault="004519D6" w:rsidP="004519D6">
      <w:pPr>
        <w:autoSpaceDE w:val="0"/>
        <w:autoSpaceDN w:val="0"/>
        <w:adjustRightInd w:val="0"/>
        <w:spacing w:after="0" w:line="240" w:lineRule="auto"/>
        <w:ind w:firstLine="709"/>
        <w:jc w:val="both"/>
        <w:rPr>
          <w:rFonts w:ascii="Times New Roman" w:hAnsi="Times New Roman" w:cs="Times New Roman"/>
          <w:sz w:val="28"/>
          <w:szCs w:val="28"/>
        </w:rPr>
      </w:pPr>
    </w:p>
    <w:sectPr w:rsidR="004519D6" w:rsidRPr="001508BA" w:rsidSect="00622DF8">
      <w:headerReference w:type="default" r:id="rId8"/>
      <w:pgSz w:w="11900" w:h="16800"/>
      <w:pgMar w:top="1134" w:right="851" w:bottom="1134" w:left="1418" w:header="720" w:footer="720" w:gutter="0"/>
      <w:pgNumType w:start="1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02645" w:rsidRDefault="00302645" w:rsidP="005A1AD8">
      <w:pPr>
        <w:spacing w:after="0" w:line="240" w:lineRule="auto"/>
      </w:pPr>
      <w:r>
        <w:separator/>
      </w:r>
    </w:p>
  </w:endnote>
  <w:endnote w:type="continuationSeparator" w:id="0">
    <w:p w:rsidR="00302645" w:rsidRDefault="00302645" w:rsidP="005A1A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02645" w:rsidRDefault="00302645" w:rsidP="005A1AD8">
      <w:pPr>
        <w:spacing w:after="0" w:line="240" w:lineRule="auto"/>
      </w:pPr>
      <w:r>
        <w:separator/>
      </w:r>
    </w:p>
  </w:footnote>
  <w:footnote w:type="continuationSeparator" w:id="0">
    <w:p w:rsidR="00302645" w:rsidRDefault="00302645" w:rsidP="005A1A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83154028"/>
      <w:docPartObj>
        <w:docPartGallery w:val="Page Numbers (Top of Page)"/>
        <w:docPartUnique/>
      </w:docPartObj>
    </w:sdtPr>
    <w:sdtEndPr>
      <w:rPr>
        <w:rFonts w:ascii="Times New Roman" w:hAnsi="Times New Roman" w:cs="Times New Roman"/>
        <w:sz w:val="24"/>
        <w:szCs w:val="24"/>
      </w:rPr>
    </w:sdtEndPr>
    <w:sdtContent>
      <w:p w:rsidR="00622DF8" w:rsidRPr="00622DF8" w:rsidRDefault="00622DF8">
        <w:pPr>
          <w:pStyle w:val="ac"/>
          <w:jc w:val="center"/>
          <w:rPr>
            <w:rFonts w:ascii="Times New Roman" w:hAnsi="Times New Roman" w:cs="Times New Roman"/>
            <w:sz w:val="24"/>
            <w:szCs w:val="24"/>
          </w:rPr>
        </w:pPr>
        <w:r w:rsidRPr="00622DF8">
          <w:rPr>
            <w:rFonts w:ascii="Times New Roman" w:hAnsi="Times New Roman" w:cs="Times New Roman"/>
            <w:sz w:val="24"/>
            <w:szCs w:val="24"/>
          </w:rPr>
          <w:fldChar w:fldCharType="begin"/>
        </w:r>
        <w:r w:rsidRPr="00622DF8">
          <w:rPr>
            <w:rFonts w:ascii="Times New Roman" w:hAnsi="Times New Roman" w:cs="Times New Roman"/>
            <w:sz w:val="24"/>
            <w:szCs w:val="24"/>
          </w:rPr>
          <w:instrText>PAGE   \* MERGEFORMAT</w:instrText>
        </w:r>
        <w:r w:rsidRPr="00622DF8">
          <w:rPr>
            <w:rFonts w:ascii="Times New Roman" w:hAnsi="Times New Roman" w:cs="Times New Roman"/>
            <w:sz w:val="24"/>
            <w:szCs w:val="24"/>
          </w:rPr>
          <w:fldChar w:fldCharType="separate"/>
        </w:r>
        <w:r>
          <w:rPr>
            <w:rFonts w:ascii="Times New Roman" w:hAnsi="Times New Roman" w:cs="Times New Roman"/>
            <w:noProof/>
            <w:sz w:val="24"/>
            <w:szCs w:val="24"/>
          </w:rPr>
          <w:t>10</w:t>
        </w:r>
        <w:r w:rsidRPr="00622DF8">
          <w:rPr>
            <w:rFonts w:ascii="Times New Roman" w:hAnsi="Times New Roman" w:cs="Times New Roman"/>
            <w:sz w:val="24"/>
            <w:szCs w:val="24"/>
          </w:rPr>
          <w:fldChar w:fldCharType="end"/>
        </w:r>
      </w:p>
    </w:sdtContent>
  </w:sdt>
  <w:p w:rsidR="005A1AD8" w:rsidRDefault="005A1AD8">
    <w:pPr>
      <w:pStyle w:val="ac"/>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0" type="#_x0000_t75" style="width:9.75pt;height:15.75pt;visibility:visible;mso-wrap-style:square" o:bullet="t">
        <v:imagedata r:id="rId1" o:title=""/>
      </v:shape>
    </w:pict>
  </w:numPicBullet>
  <w:abstractNum w:abstractNumId="0" w15:restartNumberingAfterBreak="0">
    <w:nsid w:val="038F3CF0"/>
    <w:multiLevelType w:val="hybridMultilevel"/>
    <w:tmpl w:val="FF82BFA6"/>
    <w:lvl w:ilvl="0" w:tplc="254A10B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0D83179B"/>
    <w:multiLevelType w:val="hybridMultilevel"/>
    <w:tmpl w:val="FB8820EA"/>
    <w:lvl w:ilvl="0" w:tplc="8728ABA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DA06868"/>
    <w:multiLevelType w:val="hybridMultilevel"/>
    <w:tmpl w:val="DBBC6B6C"/>
    <w:lvl w:ilvl="0" w:tplc="EDE64E44">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123247DD"/>
    <w:multiLevelType w:val="hybridMultilevel"/>
    <w:tmpl w:val="82E2B7BE"/>
    <w:lvl w:ilvl="0" w:tplc="4EE4122C">
      <w:start w:val="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B107B6A"/>
    <w:multiLevelType w:val="hybridMultilevel"/>
    <w:tmpl w:val="7EF4ECEA"/>
    <w:lvl w:ilvl="0" w:tplc="20AA8B7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276B78D8"/>
    <w:multiLevelType w:val="hybridMultilevel"/>
    <w:tmpl w:val="6292EE02"/>
    <w:lvl w:ilvl="0" w:tplc="5A840392">
      <w:start w:val="4"/>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15:restartNumberingAfterBreak="0">
    <w:nsid w:val="2DF60008"/>
    <w:multiLevelType w:val="hybridMultilevel"/>
    <w:tmpl w:val="E74618F4"/>
    <w:lvl w:ilvl="0" w:tplc="322C4BF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15:restartNumberingAfterBreak="0">
    <w:nsid w:val="2E8A2334"/>
    <w:multiLevelType w:val="hybridMultilevel"/>
    <w:tmpl w:val="B77ECD6E"/>
    <w:lvl w:ilvl="0" w:tplc="AF283182">
      <w:start w:val="13"/>
      <w:numFmt w:val="decimal"/>
      <w:lvlText w:val="%1."/>
      <w:lvlJc w:val="left"/>
      <w:pPr>
        <w:ind w:left="1095" w:hanging="37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3AE51D81"/>
    <w:multiLevelType w:val="hybridMultilevel"/>
    <w:tmpl w:val="B4AE2A60"/>
    <w:lvl w:ilvl="0" w:tplc="7318E102">
      <w:start w:val="4"/>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15:restartNumberingAfterBreak="0">
    <w:nsid w:val="42FD1AC9"/>
    <w:multiLevelType w:val="hybridMultilevel"/>
    <w:tmpl w:val="1EE6E116"/>
    <w:lvl w:ilvl="0" w:tplc="B024FA48">
      <w:start w:val="13"/>
      <w:numFmt w:val="decimal"/>
      <w:lvlText w:val="%1."/>
      <w:lvlJc w:val="left"/>
      <w:pPr>
        <w:ind w:left="1084" w:hanging="37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44C16359"/>
    <w:multiLevelType w:val="hybridMultilevel"/>
    <w:tmpl w:val="47A03E90"/>
    <w:lvl w:ilvl="0" w:tplc="5582F10E">
      <w:start w:val="16"/>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895132F"/>
    <w:multiLevelType w:val="hybridMultilevel"/>
    <w:tmpl w:val="0F3485DC"/>
    <w:lvl w:ilvl="0" w:tplc="02607B78">
      <w:start w:val="14"/>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BF2299D"/>
    <w:multiLevelType w:val="hybridMultilevel"/>
    <w:tmpl w:val="03EA62CA"/>
    <w:lvl w:ilvl="0" w:tplc="7354BED8">
      <w:start w:val="13"/>
      <w:numFmt w:val="decimal"/>
      <w:lvlText w:val="%1."/>
      <w:lvlJc w:val="left"/>
      <w:pPr>
        <w:ind w:left="1515" w:hanging="375"/>
      </w:pPr>
      <w:rPr>
        <w:rFonts w:hint="default"/>
      </w:rPr>
    </w:lvl>
    <w:lvl w:ilvl="1" w:tplc="04190019" w:tentative="1">
      <w:start w:val="1"/>
      <w:numFmt w:val="lowerLetter"/>
      <w:lvlText w:val="%2."/>
      <w:lvlJc w:val="left"/>
      <w:pPr>
        <w:ind w:left="2220" w:hanging="360"/>
      </w:pPr>
    </w:lvl>
    <w:lvl w:ilvl="2" w:tplc="0419001B" w:tentative="1">
      <w:start w:val="1"/>
      <w:numFmt w:val="lowerRoman"/>
      <w:lvlText w:val="%3."/>
      <w:lvlJc w:val="right"/>
      <w:pPr>
        <w:ind w:left="2940" w:hanging="180"/>
      </w:pPr>
    </w:lvl>
    <w:lvl w:ilvl="3" w:tplc="0419000F" w:tentative="1">
      <w:start w:val="1"/>
      <w:numFmt w:val="decimal"/>
      <w:lvlText w:val="%4."/>
      <w:lvlJc w:val="left"/>
      <w:pPr>
        <w:ind w:left="3660" w:hanging="360"/>
      </w:pPr>
    </w:lvl>
    <w:lvl w:ilvl="4" w:tplc="04190019" w:tentative="1">
      <w:start w:val="1"/>
      <w:numFmt w:val="lowerLetter"/>
      <w:lvlText w:val="%5."/>
      <w:lvlJc w:val="left"/>
      <w:pPr>
        <w:ind w:left="4380" w:hanging="360"/>
      </w:pPr>
    </w:lvl>
    <w:lvl w:ilvl="5" w:tplc="0419001B" w:tentative="1">
      <w:start w:val="1"/>
      <w:numFmt w:val="lowerRoman"/>
      <w:lvlText w:val="%6."/>
      <w:lvlJc w:val="right"/>
      <w:pPr>
        <w:ind w:left="5100" w:hanging="180"/>
      </w:pPr>
    </w:lvl>
    <w:lvl w:ilvl="6" w:tplc="0419000F" w:tentative="1">
      <w:start w:val="1"/>
      <w:numFmt w:val="decimal"/>
      <w:lvlText w:val="%7."/>
      <w:lvlJc w:val="left"/>
      <w:pPr>
        <w:ind w:left="5820" w:hanging="360"/>
      </w:pPr>
    </w:lvl>
    <w:lvl w:ilvl="7" w:tplc="04190019" w:tentative="1">
      <w:start w:val="1"/>
      <w:numFmt w:val="lowerLetter"/>
      <w:lvlText w:val="%8."/>
      <w:lvlJc w:val="left"/>
      <w:pPr>
        <w:ind w:left="6540" w:hanging="360"/>
      </w:pPr>
    </w:lvl>
    <w:lvl w:ilvl="8" w:tplc="0419001B" w:tentative="1">
      <w:start w:val="1"/>
      <w:numFmt w:val="lowerRoman"/>
      <w:lvlText w:val="%9."/>
      <w:lvlJc w:val="right"/>
      <w:pPr>
        <w:ind w:left="7260" w:hanging="180"/>
      </w:pPr>
    </w:lvl>
  </w:abstractNum>
  <w:num w:numId="1">
    <w:abstractNumId w:val="4"/>
  </w:num>
  <w:num w:numId="2">
    <w:abstractNumId w:val="0"/>
  </w:num>
  <w:num w:numId="3">
    <w:abstractNumId w:val="5"/>
  </w:num>
  <w:num w:numId="4">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12"/>
  </w:num>
  <w:num w:numId="7">
    <w:abstractNumId w:val="7"/>
  </w:num>
  <w:num w:numId="8">
    <w:abstractNumId w:val="1"/>
  </w:num>
  <w:num w:numId="9">
    <w:abstractNumId w:val="6"/>
  </w:num>
  <w:num w:numId="10">
    <w:abstractNumId w:val="11"/>
  </w:num>
  <w:num w:numId="11">
    <w:abstractNumId w:val="10"/>
  </w:num>
  <w:num w:numId="12">
    <w:abstractNumId w:val="3"/>
  </w:num>
  <w:num w:numId="13">
    <w:abstractNumId w:val="8"/>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44C"/>
    <w:rsid w:val="0001030C"/>
    <w:rsid w:val="00010B0B"/>
    <w:rsid w:val="000157F4"/>
    <w:rsid w:val="00017263"/>
    <w:rsid w:val="0001741C"/>
    <w:rsid w:val="00027411"/>
    <w:rsid w:val="00030D92"/>
    <w:rsid w:val="00051FD8"/>
    <w:rsid w:val="00052E1A"/>
    <w:rsid w:val="00061EEC"/>
    <w:rsid w:val="00066F68"/>
    <w:rsid w:val="00070F90"/>
    <w:rsid w:val="0009008B"/>
    <w:rsid w:val="000953DE"/>
    <w:rsid w:val="00096CAB"/>
    <w:rsid w:val="000B2642"/>
    <w:rsid w:val="000C5225"/>
    <w:rsid w:val="000D58FC"/>
    <w:rsid w:val="000E11F5"/>
    <w:rsid w:val="000F5EC5"/>
    <w:rsid w:val="000F7B7E"/>
    <w:rsid w:val="00117512"/>
    <w:rsid w:val="00125FB9"/>
    <w:rsid w:val="00153B94"/>
    <w:rsid w:val="00155C58"/>
    <w:rsid w:val="00161D6E"/>
    <w:rsid w:val="00166F9E"/>
    <w:rsid w:val="00171829"/>
    <w:rsid w:val="001A0D77"/>
    <w:rsid w:val="001A4B24"/>
    <w:rsid w:val="001B7B59"/>
    <w:rsid w:val="001C093E"/>
    <w:rsid w:val="001D4FD4"/>
    <w:rsid w:val="001D7A2A"/>
    <w:rsid w:val="001E1536"/>
    <w:rsid w:val="002049F9"/>
    <w:rsid w:val="002154FA"/>
    <w:rsid w:val="002204EA"/>
    <w:rsid w:val="00232EBE"/>
    <w:rsid w:val="00270126"/>
    <w:rsid w:val="00271F67"/>
    <w:rsid w:val="00292400"/>
    <w:rsid w:val="0029410D"/>
    <w:rsid w:val="002A3A43"/>
    <w:rsid w:val="002A69D3"/>
    <w:rsid w:val="002C4DF4"/>
    <w:rsid w:val="002C553E"/>
    <w:rsid w:val="002C7FE9"/>
    <w:rsid w:val="002E3B26"/>
    <w:rsid w:val="002E4E46"/>
    <w:rsid w:val="002F3DC9"/>
    <w:rsid w:val="002F6C22"/>
    <w:rsid w:val="00302645"/>
    <w:rsid w:val="00315C3E"/>
    <w:rsid w:val="00324520"/>
    <w:rsid w:val="00333175"/>
    <w:rsid w:val="0035052D"/>
    <w:rsid w:val="003577FE"/>
    <w:rsid w:val="0036100B"/>
    <w:rsid w:val="00362F1C"/>
    <w:rsid w:val="003710AE"/>
    <w:rsid w:val="003833B7"/>
    <w:rsid w:val="00386F74"/>
    <w:rsid w:val="0039508B"/>
    <w:rsid w:val="003A040B"/>
    <w:rsid w:val="003A2DDF"/>
    <w:rsid w:val="003B584F"/>
    <w:rsid w:val="003D5D11"/>
    <w:rsid w:val="003D6707"/>
    <w:rsid w:val="003E27C1"/>
    <w:rsid w:val="003E444C"/>
    <w:rsid w:val="003E78EA"/>
    <w:rsid w:val="003F4A20"/>
    <w:rsid w:val="00402051"/>
    <w:rsid w:val="00404616"/>
    <w:rsid w:val="00406EA6"/>
    <w:rsid w:val="00414F15"/>
    <w:rsid w:val="004268EC"/>
    <w:rsid w:val="00427B92"/>
    <w:rsid w:val="004301E2"/>
    <w:rsid w:val="00430810"/>
    <w:rsid w:val="00447EA8"/>
    <w:rsid w:val="004517B3"/>
    <w:rsid w:val="004519D6"/>
    <w:rsid w:val="00462CCE"/>
    <w:rsid w:val="00471416"/>
    <w:rsid w:val="00477DCA"/>
    <w:rsid w:val="004B12FF"/>
    <w:rsid w:val="004C0FB9"/>
    <w:rsid w:val="004D320B"/>
    <w:rsid w:val="004E29DE"/>
    <w:rsid w:val="004E7660"/>
    <w:rsid w:val="004F1E2D"/>
    <w:rsid w:val="00520C6A"/>
    <w:rsid w:val="00524F89"/>
    <w:rsid w:val="005353E1"/>
    <w:rsid w:val="005461D6"/>
    <w:rsid w:val="005561E4"/>
    <w:rsid w:val="00560B88"/>
    <w:rsid w:val="00584492"/>
    <w:rsid w:val="005A1AD8"/>
    <w:rsid w:val="005B14DF"/>
    <w:rsid w:val="005B4034"/>
    <w:rsid w:val="005C2B5A"/>
    <w:rsid w:val="006012B5"/>
    <w:rsid w:val="00601531"/>
    <w:rsid w:val="00611B46"/>
    <w:rsid w:val="006152D6"/>
    <w:rsid w:val="00622DF8"/>
    <w:rsid w:val="00636802"/>
    <w:rsid w:val="00636E8D"/>
    <w:rsid w:val="00640A7E"/>
    <w:rsid w:val="0065083A"/>
    <w:rsid w:val="00652F9C"/>
    <w:rsid w:val="00653C53"/>
    <w:rsid w:val="00661775"/>
    <w:rsid w:val="006913AC"/>
    <w:rsid w:val="00695040"/>
    <w:rsid w:val="006A27DE"/>
    <w:rsid w:val="006A6A17"/>
    <w:rsid w:val="006B4665"/>
    <w:rsid w:val="006C15DB"/>
    <w:rsid w:val="006C617C"/>
    <w:rsid w:val="006D16C7"/>
    <w:rsid w:val="006D1995"/>
    <w:rsid w:val="006D57FA"/>
    <w:rsid w:val="006E64D0"/>
    <w:rsid w:val="006F0A8D"/>
    <w:rsid w:val="006F5B2B"/>
    <w:rsid w:val="007029F0"/>
    <w:rsid w:val="0072549D"/>
    <w:rsid w:val="00765E21"/>
    <w:rsid w:val="00767C63"/>
    <w:rsid w:val="00775961"/>
    <w:rsid w:val="00783B6C"/>
    <w:rsid w:val="007A320A"/>
    <w:rsid w:val="007A7D5C"/>
    <w:rsid w:val="007C0A1F"/>
    <w:rsid w:val="007D00E0"/>
    <w:rsid w:val="007E0716"/>
    <w:rsid w:val="007E7D32"/>
    <w:rsid w:val="007F4E7A"/>
    <w:rsid w:val="007F711C"/>
    <w:rsid w:val="008076B9"/>
    <w:rsid w:val="00814DA7"/>
    <w:rsid w:val="00816A9D"/>
    <w:rsid w:val="00827675"/>
    <w:rsid w:val="00833F9E"/>
    <w:rsid w:val="00836B94"/>
    <w:rsid w:val="0084039C"/>
    <w:rsid w:val="00840B21"/>
    <w:rsid w:val="0084570E"/>
    <w:rsid w:val="008A3679"/>
    <w:rsid w:val="008A7605"/>
    <w:rsid w:val="008D761C"/>
    <w:rsid w:val="008F3042"/>
    <w:rsid w:val="00906384"/>
    <w:rsid w:val="0090661A"/>
    <w:rsid w:val="0093142F"/>
    <w:rsid w:val="00940A26"/>
    <w:rsid w:val="00942002"/>
    <w:rsid w:val="00960235"/>
    <w:rsid w:val="009655F5"/>
    <w:rsid w:val="009673EA"/>
    <w:rsid w:val="009731A7"/>
    <w:rsid w:val="009A02BA"/>
    <w:rsid w:val="009B1D29"/>
    <w:rsid w:val="009B6687"/>
    <w:rsid w:val="009C7CDD"/>
    <w:rsid w:val="009D1D06"/>
    <w:rsid w:val="009E579F"/>
    <w:rsid w:val="009F7E1A"/>
    <w:rsid w:val="00A004A6"/>
    <w:rsid w:val="00A00A9D"/>
    <w:rsid w:val="00A0337A"/>
    <w:rsid w:val="00A0368F"/>
    <w:rsid w:val="00A07EC8"/>
    <w:rsid w:val="00A10B06"/>
    <w:rsid w:val="00A15C67"/>
    <w:rsid w:val="00A244AE"/>
    <w:rsid w:val="00A3507F"/>
    <w:rsid w:val="00A4079A"/>
    <w:rsid w:val="00A52B75"/>
    <w:rsid w:val="00A65883"/>
    <w:rsid w:val="00A76ECB"/>
    <w:rsid w:val="00A86DD4"/>
    <w:rsid w:val="00A870C9"/>
    <w:rsid w:val="00A87FF0"/>
    <w:rsid w:val="00A9208E"/>
    <w:rsid w:val="00A94147"/>
    <w:rsid w:val="00AA616A"/>
    <w:rsid w:val="00AB5DCC"/>
    <w:rsid w:val="00B06FFC"/>
    <w:rsid w:val="00B21743"/>
    <w:rsid w:val="00B31BEC"/>
    <w:rsid w:val="00B37D66"/>
    <w:rsid w:val="00B47A4C"/>
    <w:rsid w:val="00B522E2"/>
    <w:rsid w:val="00B61223"/>
    <w:rsid w:val="00B65C7F"/>
    <w:rsid w:val="00B65FA6"/>
    <w:rsid w:val="00B6686D"/>
    <w:rsid w:val="00B66DF3"/>
    <w:rsid w:val="00B7531B"/>
    <w:rsid w:val="00B8544C"/>
    <w:rsid w:val="00B86E77"/>
    <w:rsid w:val="00B91737"/>
    <w:rsid w:val="00B967FA"/>
    <w:rsid w:val="00BA4D5C"/>
    <w:rsid w:val="00BA5189"/>
    <w:rsid w:val="00BA624E"/>
    <w:rsid w:val="00BB1EEA"/>
    <w:rsid w:val="00BB7F0C"/>
    <w:rsid w:val="00BC5053"/>
    <w:rsid w:val="00BC5063"/>
    <w:rsid w:val="00BF3AFE"/>
    <w:rsid w:val="00C010B8"/>
    <w:rsid w:val="00C03212"/>
    <w:rsid w:val="00C039AC"/>
    <w:rsid w:val="00C04D2D"/>
    <w:rsid w:val="00C0641C"/>
    <w:rsid w:val="00C06AA3"/>
    <w:rsid w:val="00C15B3F"/>
    <w:rsid w:val="00C17050"/>
    <w:rsid w:val="00C218FD"/>
    <w:rsid w:val="00C235E7"/>
    <w:rsid w:val="00C260D2"/>
    <w:rsid w:val="00C3119B"/>
    <w:rsid w:val="00C5509C"/>
    <w:rsid w:val="00C57006"/>
    <w:rsid w:val="00C62931"/>
    <w:rsid w:val="00C7607A"/>
    <w:rsid w:val="00CA7A9B"/>
    <w:rsid w:val="00CB3B2C"/>
    <w:rsid w:val="00CC1B38"/>
    <w:rsid w:val="00CC54F1"/>
    <w:rsid w:val="00CE22E4"/>
    <w:rsid w:val="00CE41DB"/>
    <w:rsid w:val="00CE617E"/>
    <w:rsid w:val="00CE6CD1"/>
    <w:rsid w:val="00CE7C61"/>
    <w:rsid w:val="00D03845"/>
    <w:rsid w:val="00D23F76"/>
    <w:rsid w:val="00D44659"/>
    <w:rsid w:val="00D45F07"/>
    <w:rsid w:val="00D5073E"/>
    <w:rsid w:val="00D52CAF"/>
    <w:rsid w:val="00D61117"/>
    <w:rsid w:val="00D73AE4"/>
    <w:rsid w:val="00D74BB9"/>
    <w:rsid w:val="00D76C49"/>
    <w:rsid w:val="00D86589"/>
    <w:rsid w:val="00DA0686"/>
    <w:rsid w:val="00DA6C43"/>
    <w:rsid w:val="00DA71B6"/>
    <w:rsid w:val="00DD2C9D"/>
    <w:rsid w:val="00DE1FB0"/>
    <w:rsid w:val="00DE2052"/>
    <w:rsid w:val="00DE67A7"/>
    <w:rsid w:val="00DF23A5"/>
    <w:rsid w:val="00DF2741"/>
    <w:rsid w:val="00E00AA0"/>
    <w:rsid w:val="00E06558"/>
    <w:rsid w:val="00E20A3E"/>
    <w:rsid w:val="00E23053"/>
    <w:rsid w:val="00E25865"/>
    <w:rsid w:val="00E25F2A"/>
    <w:rsid w:val="00E4050A"/>
    <w:rsid w:val="00E41268"/>
    <w:rsid w:val="00E85FAF"/>
    <w:rsid w:val="00E926E7"/>
    <w:rsid w:val="00EA7411"/>
    <w:rsid w:val="00EB34EF"/>
    <w:rsid w:val="00EE001B"/>
    <w:rsid w:val="00EE53F2"/>
    <w:rsid w:val="00EF095D"/>
    <w:rsid w:val="00EF0960"/>
    <w:rsid w:val="00EF3B25"/>
    <w:rsid w:val="00EF49F2"/>
    <w:rsid w:val="00F041F1"/>
    <w:rsid w:val="00F072CB"/>
    <w:rsid w:val="00F14025"/>
    <w:rsid w:val="00F71D3B"/>
    <w:rsid w:val="00F732D9"/>
    <w:rsid w:val="00F74209"/>
    <w:rsid w:val="00F74BD8"/>
    <w:rsid w:val="00F82272"/>
    <w:rsid w:val="00F8244D"/>
    <w:rsid w:val="00F8656B"/>
    <w:rsid w:val="00FB3602"/>
    <w:rsid w:val="00FC1C6D"/>
    <w:rsid w:val="00FF1C22"/>
    <w:rsid w:val="00FF21F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124D8A8-830F-48DD-9CB9-BF20380817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9"/>
    <w:qFormat/>
    <w:rsid w:val="00B8544C"/>
    <w:pPr>
      <w:autoSpaceDE w:val="0"/>
      <w:autoSpaceDN w:val="0"/>
      <w:adjustRightInd w:val="0"/>
      <w:spacing w:before="108" w:after="108" w:line="240" w:lineRule="auto"/>
      <w:jc w:val="center"/>
      <w:outlineLvl w:val="0"/>
    </w:pPr>
    <w:rPr>
      <w:rFonts w:ascii="Arial" w:hAnsi="Arial" w:cs="Arial"/>
      <w:b/>
      <w:bCs/>
      <w:color w:val="26282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B8544C"/>
    <w:rPr>
      <w:rFonts w:ascii="Arial" w:hAnsi="Arial" w:cs="Arial"/>
      <w:b/>
      <w:bCs/>
      <w:color w:val="26282F"/>
      <w:sz w:val="24"/>
      <w:szCs w:val="24"/>
    </w:rPr>
  </w:style>
  <w:style w:type="character" w:customStyle="1" w:styleId="a3">
    <w:name w:val="Цветовое выделение"/>
    <w:uiPriority w:val="99"/>
    <w:rsid w:val="00B8544C"/>
    <w:rPr>
      <w:b/>
      <w:bCs/>
      <w:color w:val="26282F"/>
    </w:rPr>
  </w:style>
  <w:style w:type="character" w:customStyle="1" w:styleId="a4">
    <w:name w:val="Гипертекстовая ссылка"/>
    <w:basedOn w:val="a3"/>
    <w:uiPriority w:val="99"/>
    <w:rsid w:val="00B8544C"/>
    <w:rPr>
      <w:b/>
      <w:bCs/>
      <w:color w:val="106BBE"/>
    </w:rPr>
  </w:style>
  <w:style w:type="paragraph" w:customStyle="1" w:styleId="a5">
    <w:name w:val="Комментарий"/>
    <w:basedOn w:val="a"/>
    <w:next w:val="a"/>
    <w:uiPriority w:val="99"/>
    <w:rsid w:val="00B8544C"/>
    <w:pPr>
      <w:autoSpaceDE w:val="0"/>
      <w:autoSpaceDN w:val="0"/>
      <w:adjustRightInd w:val="0"/>
      <w:spacing w:before="75" w:after="0" w:line="240" w:lineRule="auto"/>
      <w:ind w:left="170"/>
      <w:jc w:val="both"/>
    </w:pPr>
    <w:rPr>
      <w:rFonts w:ascii="Arial" w:hAnsi="Arial" w:cs="Arial"/>
      <w:color w:val="353842"/>
      <w:sz w:val="24"/>
      <w:szCs w:val="24"/>
      <w:shd w:val="clear" w:color="auto" w:fill="F0F0F0"/>
    </w:rPr>
  </w:style>
  <w:style w:type="paragraph" w:customStyle="1" w:styleId="a6">
    <w:name w:val="Информация об изменениях документа"/>
    <w:basedOn w:val="a5"/>
    <w:next w:val="a"/>
    <w:uiPriority w:val="99"/>
    <w:rsid w:val="00B8544C"/>
    <w:rPr>
      <w:i/>
      <w:iCs/>
    </w:rPr>
  </w:style>
  <w:style w:type="paragraph" w:styleId="a7">
    <w:name w:val="List Paragraph"/>
    <w:basedOn w:val="a"/>
    <w:uiPriority w:val="34"/>
    <w:qFormat/>
    <w:rsid w:val="00A65883"/>
    <w:pPr>
      <w:ind w:left="720"/>
      <w:contextualSpacing/>
    </w:pPr>
  </w:style>
  <w:style w:type="character" w:styleId="a8">
    <w:name w:val="Hyperlink"/>
    <w:basedOn w:val="a0"/>
    <w:uiPriority w:val="99"/>
    <w:unhideWhenUsed/>
    <w:rsid w:val="00636802"/>
    <w:rPr>
      <w:color w:val="0000FF"/>
      <w:u w:val="single"/>
    </w:rPr>
  </w:style>
  <w:style w:type="paragraph" w:customStyle="1" w:styleId="formattext">
    <w:name w:val="formattext"/>
    <w:basedOn w:val="a"/>
    <w:rsid w:val="001B7B59"/>
    <w:pPr>
      <w:spacing w:before="100" w:beforeAutospacing="1" w:after="100" w:afterAutospacing="1" w:line="240" w:lineRule="auto"/>
    </w:pPr>
    <w:rPr>
      <w:rFonts w:ascii="Times New Roman" w:eastAsia="Times New Roman" w:hAnsi="Times New Roman" w:cs="Times New Roman"/>
      <w:sz w:val="24"/>
      <w:szCs w:val="24"/>
      <w:lang w:eastAsia="ru-RU"/>
    </w:rPr>
  </w:style>
  <w:style w:type="table" w:styleId="a9">
    <w:name w:val="Table Grid"/>
    <w:basedOn w:val="a1"/>
    <w:uiPriority w:val="99"/>
    <w:rsid w:val="00783B6C"/>
    <w:pPr>
      <w:spacing w:after="0" w:line="240" w:lineRule="auto"/>
      <w:ind w:firstLine="709"/>
      <w:jc w:val="both"/>
    </w:pPr>
    <w:rPr>
      <w:rFonts w:ascii="Times New Roman" w:eastAsiaTheme="minorEastAsia" w:hAnsi="Times New Roman"/>
      <w:sz w:val="28"/>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a">
    <w:name w:val="Balloon Text"/>
    <w:basedOn w:val="a"/>
    <w:link w:val="ab"/>
    <w:uiPriority w:val="99"/>
    <w:semiHidden/>
    <w:unhideWhenUsed/>
    <w:rsid w:val="00271F67"/>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271F67"/>
    <w:rPr>
      <w:rFonts w:ascii="Segoe UI" w:hAnsi="Segoe UI" w:cs="Segoe UI"/>
      <w:sz w:val="18"/>
      <w:szCs w:val="18"/>
    </w:rPr>
  </w:style>
  <w:style w:type="paragraph" w:styleId="ac">
    <w:name w:val="header"/>
    <w:basedOn w:val="a"/>
    <w:link w:val="ad"/>
    <w:uiPriority w:val="99"/>
    <w:unhideWhenUsed/>
    <w:rsid w:val="005A1AD8"/>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5A1AD8"/>
  </w:style>
  <w:style w:type="paragraph" w:styleId="ae">
    <w:name w:val="footer"/>
    <w:basedOn w:val="a"/>
    <w:link w:val="af"/>
    <w:uiPriority w:val="99"/>
    <w:unhideWhenUsed/>
    <w:rsid w:val="005A1AD8"/>
    <w:pPr>
      <w:tabs>
        <w:tab w:val="center" w:pos="4677"/>
        <w:tab w:val="right" w:pos="9355"/>
      </w:tabs>
      <w:spacing w:after="0" w:line="240" w:lineRule="auto"/>
    </w:pPr>
  </w:style>
  <w:style w:type="character" w:customStyle="1" w:styleId="af">
    <w:name w:val="Нижний колонтитул Знак"/>
    <w:basedOn w:val="a0"/>
    <w:link w:val="ae"/>
    <w:uiPriority w:val="99"/>
    <w:rsid w:val="005A1AD8"/>
  </w:style>
  <w:style w:type="paragraph" w:customStyle="1" w:styleId="ConsPlusNormal">
    <w:name w:val="ConsPlusNormal"/>
    <w:rsid w:val="004519D6"/>
    <w:pPr>
      <w:widowControl w:val="0"/>
      <w:autoSpaceDE w:val="0"/>
      <w:autoSpaceDN w:val="0"/>
      <w:spacing w:after="0" w:line="240" w:lineRule="auto"/>
    </w:pPr>
    <w:rPr>
      <w:rFonts w:ascii="Calibri" w:eastAsia="Times New Roman" w:hAnsi="Calibri" w:cs="Calibri"/>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8983629">
      <w:bodyDiv w:val="1"/>
      <w:marLeft w:val="0"/>
      <w:marRight w:val="0"/>
      <w:marTop w:val="0"/>
      <w:marBottom w:val="0"/>
      <w:divBdr>
        <w:top w:val="none" w:sz="0" w:space="0" w:color="auto"/>
        <w:left w:val="none" w:sz="0" w:space="0" w:color="auto"/>
        <w:bottom w:val="none" w:sz="0" w:space="0" w:color="auto"/>
        <w:right w:val="none" w:sz="0" w:space="0" w:color="auto"/>
      </w:divBdr>
    </w:div>
    <w:div w:id="1361590643">
      <w:bodyDiv w:val="1"/>
      <w:marLeft w:val="0"/>
      <w:marRight w:val="0"/>
      <w:marTop w:val="0"/>
      <w:marBottom w:val="0"/>
      <w:divBdr>
        <w:top w:val="none" w:sz="0" w:space="0" w:color="auto"/>
        <w:left w:val="none" w:sz="0" w:space="0" w:color="auto"/>
        <w:bottom w:val="none" w:sz="0" w:space="0" w:color="auto"/>
        <w:right w:val="none" w:sz="0" w:space="0" w:color="auto"/>
      </w:divBdr>
    </w:div>
    <w:div w:id="1703745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3A8D7D-D765-44B5-943F-5F008DE0CA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1920</TotalTime>
  <Pages>13</Pages>
  <Words>4843</Words>
  <Characters>27607</Characters>
  <Application>Microsoft Office Word</Application>
  <DocSecurity>0</DocSecurity>
  <Lines>230</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32386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Бакнина Ольга Николаевна</dc:creator>
  <cp:keywords/>
  <dc:description/>
  <cp:lastModifiedBy>Засмужец Ольга Петровна</cp:lastModifiedBy>
  <cp:revision>69</cp:revision>
  <cp:lastPrinted>2022-01-18T06:09:00Z</cp:lastPrinted>
  <dcterms:created xsi:type="dcterms:W3CDTF">2020-01-27T05:56:00Z</dcterms:created>
  <dcterms:modified xsi:type="dcterms:W3CDTF">2022-10-21T06:35:00Z</dcterms:modified>
</cp:coreProperties>
</file>